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C07E" w14:textId="45E04F40" w:rsidR="00AA40F4" w:rsidRDefault="00AA40F4" w:rsidP="00AA40F4">
      <w:pPr>
        <w:shd w:val="clear" w:color="auto" w:fill="FFFFFF"/>
        <w:spacing w:after="360" w:line="240" w:lineRule="auto"/>
        <w:jc w:val="center"/>
        <w:outlineLvl w:val="1"/>
        <w:rPr>
          <w:rFonts w:ascii="Arial" w:eastAsia="Times New Roman" w:hAnsi="Arial" w:cs="Arial"/>
          <w:b/>
          <w:bCs/>
          <w:color w:val="161616"/>
          <w:kern w:val="0"/>
          <w:sz w:val="36"/>
          <w:szCs w:val="36"/>
          <w:u w:val="single"/>
          <w:lang w:eastAsia="fr-FR"/>
          <w14:ligatures w14:val="none"/>
        </w:rPr>
      </w:pPr>
      <w:r w:rsidRPr="00AA40F4">
        <w:rPr>
          <w:rFonts w:ascii="Arial" w:eastAsia="Times New Roman" w:hAnsi="Arial" w:cs="Arial"/>
          <w:b/>
          <w:bCs/>
          <w:color w:val="161616"/>
          <w:kern w:val="0"/>
          <w:sz w:val="36"/>
          <w:szCs w:val="36"/>
          <w:u w:val="single"/>
          <w:lang w:eastAsia="fr-FR"/>
          <w14:ligatures w14:val="none"/>
        </w:rPr>
        <w:t>REGLEMENTATION CHIENS DANGEREUX</w:t>
      </w:r>
    </w:p>
    <w:p w14:paraId="46C8176B" w14:textId="787E29D9" w:rsidR="00AA40F4" w:rsidRDefault="00AA40F4" w:rsidP="00AA40F4">
      <w:pPr>
        <w:shd w:val="clear" w:color="auto" w:fill="FFFFFF"/>
        <w:spacing w:after="360" w:line="240" w:lineRule="auto"/>
        <w:outlineLvl w:val="1"/>
        <w:rPr>
          <w:rFonts w:ascii="Arial" w:hAnsi="Arial" w:cs="Arial"/>
          <w:color w:val="3A3A3A"/>
          <w:sz w:val="30"/>
          <w:szCs w:val="30"/>
          <w:shd w:val="clear" w:color="auto" w:fill="FFFFFF"/>
        </w:rPr>
      </w:pPr>
      <w:r>
        <w:rPr>
          <w:rFonts w:ascii="Arial" w:hAnsi="Arial" w:cs="Arial"/>
          <w:color w:val="3A3A3A"/>
          <w:sz w:val="30"/>
          <w:szCs w:val="30"/>
          <w:shd w:val="clear" w:color="auto" w:fill="FFFFFF"/>
        </w:rPr>
        <w:t>Une réglementation particulière encadre les chiens dits « dangereux », qui sont classés en deux catégories distinctes. Elle implique pour leurs maîtres des obligations à connaître et des précautions à prendre.</w:t>
      </w:r>
    </w:p>
    <w:p w14:paraId="706BFF58" w14:textId="729FCC0C" w:rsidR="00AA40F4" w:rsidRDefault="00AA40F4" w:rsidP="00AA40F4">
      <w:pPr>
        <w:shd w:val="clear" w:color="auto" w:fill="FFFFFF"/>
        <w:spacing w:after="360" w:line="240" w:lineRule="auto"/>
        <w:outlineLvl w:val="1"/>
        <w:rPr>
          <w:rFonts w:ascii="Arial" w:hAnsi="Arial" w:cs="Arial"/>
          <w:color w:val="3A3A3A"/>
          <w:shd w:val="clear" w:color="auto" w:fill="FFFFFF"/>
        </w:rPr>
      </w:pPr>
      <w:r>
        <w:rPr>
          <w:rFonts w:ascii="Arial" w:hAnsi="Arial" w:cs="Arial"/>
          <w:color w:val="3A3A3A"/>
          <w:shd w:val="clear" w:color="auto" w:fill="FFFFFF"/>
        </w:rPr>
        <w:t>Un « chien dangereux » est un chien susceptible de représenter un danger, aussi bien pour les personnes que pour les animaux domestiques. Mais attention : si les chiens catégorisés sont par défaut considérés comme dangereux (</w:t>
      </w:r>
      <w:hyperlink r:id="rId8" w:tgtFrame="_blank" w:tooltip="article L211-11 du Code rural et de la pêche maritime - Ouverture dans une nouvelle fenêtre" w:history="1">
        <w:r>
          <w:rPr>
            <w:rStyle w:val="Lienhypertexte"/>
            <w:rFonts w:ascii="Arial" w:hAnsi="Arial" w:cs="Arial"/>
            <w:shd w:val="clear" w:color="auto" w:fill="FFFFFF"/>
          </w:rPr>
          <w:t>article L211-11 du Code rural et de la pêche maritime</w:t>
        </w:r>
      </w:hyperlink>
      <w:r>
        <w:rPr>
          <w:rFonts w:ascii="Arial" w:hAnsi="Arial" w:cs="Arial"/>
          <w:color w:val="3A3A3A"/>
          <w:shd w:val="clear" w:color="auto" w:fill="FFFFFF"/>
        </w:rPr>
        <w:t>), un chien dangereux n’est pas forcément un chien catégorisé ! Les chiens susceptibles d'être dangereux sont classés en 2 catégories en fonction de leurs caractéristiques morphologiques (</w:t>
      </w:r>
      <w:hyperlink r:id="rId9" w:tgtFrame="_blank" w:tooltip="article L211-12 du Code rural et de la pêche maritime - Ouverture dans une nouvelle fenêtre" w:history="1">
        <w:r>
          <w:rPr>
            <w:rStyle w:val="Lienhypertexte"/>
            <w:rFonts w:ascii="Arial" w:hAnsi="Arial" w:cs="Arial"/>
            <w:shd w:val="clear" w:color="auto" w:fill="FFFFFF"/>
          </w:rPr>
          <w:t>article L211-12 du Code rural et de la pêche maritime</w:t>
        </w:r>
      </w:hyperlink>
      <w:r>
        <w:rPr>
          <w:rFonts w:ascii="Arial" w:hAnsi="Arial" w:cs="Arial"/>
          <w:color w:val="3A3A3A"/>
          <w:shd w:val="clear" w:color="auto" w:fill="FFFFFF"/>
        </w:rPr>
        <w:t>).</w:t>
      </w:r>
    </w:p>
    <w:p w14:paraId="088B1256" w14:textId="77777777" w:rsidR="00AA40F4" w:rsidRDefault="00AA40F4" w:rsidP="00AA40F4">
      <w:pPr>
        <w:pStyle w:val="NormalWeb"/>
        <w:shd w:val="clear" w:color="auto" w:fill="FFFFFF"/>
        <w:spacing w:before="0" w:beforeAutospacing="0" w:after="360" w:afterAutospacing="0"/>
        <w:rPr>
          <w:rFonts w:ascii="Arial" w:hAnsi="Arial" w:cs="Arial"/>
          <w:color w:val="3A3A3A"/>
        </w:rPr>
      </w:pPr>
      <w:r>
        <w:rPr>
          <w:rFonts w:ascii="Arial" w:hAnsi="Arial" w:cs="Arial"/>
          <w:color w:val="3A3A3A"/>
        </w:rPr>
        <w:t>Chaque détenteur est responsable des actes de son chien. Les propriétaires, et futurs propriétaires, de chiens dangereux doivent donc s'informer des obligations et interdictions concernant la détention de ces animaux afin de garantir au mieux la sécurité de tous.</w:t>
      </w:r>
      <w:r>
        <w:rPr>
          <w:rFonts w:ascii="Arial" w:hAnsi="Arial" w:cs="Arial"/>
          <w:color w:val="3A3A3A"/>
        </w:rPr>
        <w:br/>
      </w:r>
      <w:r>
        <w:rPr>
          <w:rFonts w:ascii="Arial" w:hAnsi="Arial" w:cs="Arial"/>
          <w:color w:val="3A3A3A"/>
        </w:rPr>
        <w:br/>
        <w:t>La </w:t>
      </w:r>
      <w:hyperlink r:id="rId10" w:tgtFrame="_blank" w:tooltip="loi n°99-5 du 6 janvier 1999 - Ouverture dans une nouvelle fenêtre" w:history="1">
        <w:r>
          <w:rPr>
            <w:rStyle w:val="Lienhypertexte"/>
            <w:rFonts w:ascii="Arial" w:eastAsiaTheme="majorEastAsia" w:hAnsi="Arial" w:cs="Arial"/>
          </w:rPr>
          <w:t>loi n°99-5 du 6 janvier 1999</w:t>
        </w:r>
      </w:hyperlink>
      <w:r>
        <w:rPr>
          <w:rFonts w:ascii="Arial" w:hAnsi="Arial" w:cs="Arial"/>
          <w:color w:val="3A3A3A"/>
        </w:rPr>
        <w:t> modifiée relative aux animaux dangereux et errants et à la protection des animaux ainsi que la </w:t>
      </w:r>
      <w:hyperlink r:id="rId11" w:tgtFrame="_blank" w:tooltip="loi n°2008-582 du 20 juin 2008 - Ouverture dans une nouvelle fenêtre" w:history="1">
        <w:r>
          <w:rPr>
            <w:rStyle w:val="Lienhypertexte"/>
            <w:rFonts w:ascii="Arial" w:eastAsiaTheme="majorEastAsia" w:hAnsi="Arial" w:cs="Arial"/>
          </w:rPr>
          <w:t>loi n°2008-582 du 20 juin 2008</w:t>
        </w:r>
      </w:hyperlink>
      <w:r>
        <w:rPr>
          <w:rFonts w:ascii="Arial" w:hAnsi="Arial" w:cs="Arial"/>
          <w:color w:val="3A3A3A"/>
        </w:rPr>
        <w:t> renforçant les mesures de prévention et de protection des personnes contre les chiens dangereux précisent ces règles, qui diffèrent en fonction de la catégorie du chien. Ces textes de loi sont portés par le ministère de l'Agriculture et de l'Alimentation ainsi que le ministère de l'Intérieur car le domaine des chiens dangereux relève aussi de la sécurité civile.</w:t>
      </w:r>
    </w:p>
    <w:p w14:paraId="5A4B2CB5" w14:textId="77777777" w:rsidR="00AA40F4" w:rsidRDefault="00AA40F4" w:rsidP="00AA40F4">
      <w:pPr>
        <w:pStyle w:val="NormalWeb"/>
        <w:shd w:val="clear" w:color="auto" w:fill="FFFFFF"/>
        <w:spacing w:before="0" w:beforeAutospacing="0" w:after="360" w:afterAutospacing="0"/>
        <w:rPr>
          <w:rFonts w:ascii="Arial" w:hAnsi="Arial" w:cs="Arial"/>
          <w:color w:val="3A3A3A"/>
        </w:rPr>
      </w:pPr>
      <w:r>
        <w:rPr>
          <w:rFonts w:ascii="Arial" w:hAnsi="Arial" w:cs="Arial"/>
          <w:color w:val="3A3A3A"/>
        </w:rPr>
        <w:t>La détention non autorisée d'un chien catégorisé est passible de 3 mois d'emprisonnement et 3 750 euros d'amende ainsi que le risque de saisie de l'animal.</w:t>
      </w:r>
    </w:p>
    <w:p w14:paraId="399CC282" w14:textId="079CAAB1" w:rsidR="00AA40F4" w:rsidRPr="00AA40F4" w:rsidRDefault="00AA40F4" w:rsidP="00AA40F4">
      <w:pPr>
        <w:shd w:val="clear" w:color="auto" w:fill="FFFFFF"/>
        <w:spacing w:after="360" w:line="240" w:lineRule="auto"/>
        <w:outlineLvl w:val="1"/>
        <w:rPr>
          <w:rFonts w:ascii="Arial" w:eastAsia="Times New Roman" w:hAnsi="Arial" w:cs="Arial"/>
          <w:b/>
          <w:bCs/>
          <w:color w:val="161616"/>
          <w:kern w:val="0"/>
          <w:sz w:val="36"/>
          <w:szCs w:val="36"/>
          <w:lang w:eastAsia="fr-FR"/>
          <w14:ligatures w14:val="none"/>
        </w:rPr>
      </w:pPr>
      <w:r w:rsidRPr="00AA40F4">
        <w:rPr>
          <w:rFonts w:ascii="Arial" w:eastAsia="Times New Roman" w:hAnsi="Arial" w:cs="Arial"/>
          <w:b/>
          <w:bCs/>
          <w:color w:val="161616"/>
          <w:kern w:val="0"/>
          <w:sz w:val="36"/>
          <w:szCs w:val="36"/>
          <w:lang w:eastAsia="fr-FR"/>
          <w14:ligatures w14:val="none"/>
        </w:rPr>
        <w:t>Le permis de détention</w:t>
      </w:r>
    </w:p>
    <w:p w14:paraId="35C407A1" w14:textId="77777777" w:rsidR="00AA40F4" w:rsidRPr="00AA40F4" w:rsidRDefault="00AA40F4" w:rsidP="00AA40F4">
      <w:pPr>
        <w:shd w:val="clear" w:color="auto" w:fill="FFFFFF"/>
        <w:spacing w:after="360"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Depuis le 1</w:t>
      </w:r>
      <w:r w:rsidRPr="00AA40F4">
        <w:rPr>
          <w:rFonts w:ascii="Arial" w:eastAsia="Times New Roman" w:hAnsi="Arial" w:cs="Arial"/>
          <w:color w:val="3A3A3A"/>
          <w:kern w:val="0"/>
          <w:vertAlign w:val="superscript"/>
          <w:lang w:eastAsia="fr-FR"/>
          <w14:ligatures w14:val="none"/>
        </w:rPr>
        <w:t>er</w:t>
      </w:r>
      <w:r w:rsidRPr="00AA40F4">
        <w:rPr>
          <w:rFonts w:ascii="Arial" w:eastAsia="Times New Roman" w:hAnsi="Arial" w:cs="Arial"/>
          <w:color w:val="3A3A3A"/>
          <w:kern w:val="0"/>
          <w:lang w:eastAsia="fr-FR"/>
          <w14:ligatures w14:val="none"/>
        </w:rPr>
        <w:t> janvier 2010, tout détenteur d'un chien de catégorie 1 ou 2 doit posséder un permis de détention. La délivrance de ce document à un détenteur de chien catégorisé par la mairie de sa commune de résidence est soumise à 3 conditions :</w:t>
      </w:r>
    </w:p>
    <w:p w14:paraId="3C657DC3" w14:textId="0F40A0CA" w:rsidR="00AA40F4" w:rsidRPr="00AA40F4" w:rsidRDefault="00AA40F4" w:rsidP="00AA40F4">
      <w:pPr>
        <w:numPr>
          <w:ilvl w:val="0"/>
          <w:numId w:val="1"/>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Posséder une attestation d'aptitude : pour ce faire, il est nécessaire d'avoir suivi une formation de 7 heures portant sur l'éducation et le comportement canin ainsi que sur la prévention des accidents. Cette </w:t>
      </w:r>
      <w:hyperlink r:id="rId12" w:tgtFrame="_blank" w:tooltip="formation - Ouverture dans une nouvelle fenêtre" w:history="1">
        <w:r w:rsidRPr="00AA40F4">
          <w:rPr>
            <w:rFonts w:ascii="Arial" w:eastAsia="Times New Roman" w:hAnsi="Arial" w:cs="Arial"/>
            <w:color w:val="0000FF"/>
            <w:kern w:val="0"/>
            <w:u w:val="single"/>
            <w:lang w:eastAsia="fr-FR"/>
            <w14:ligatures w14:val="none"/>
          </w:rPr>
          <w:t>formation</w:t>
        </w:r>
      </w:hyperlink>
      <w:r w:rsidRPr="00AA40F4">
        <w:rPr>
          <w:rFonts w:ascii="Arial" w:eastAsia="Times New Roman" w:hAnsi="Arial" w:cs="Arial"/>
          <w:color w:val="3A3A3A"/>
          <w:kern w:val="0"/>
          <w:lang w:eastAsia="fr-FR"/>
          <w14:ligatures w14:val="none"/>
        </w:rPr>
        <w:t> doit être délivrée par un formateur agréé. Pour obtenir la liste des formateurs habilités à dispenser la formation, se renseigner auprès de la </w:t>
      </w:r>
      <w:hyperlink r:id="rId13" w:tgtFrame="_blank" w:tooltip="DD(CS)PP - Ouverture dans une nouvelle fenêtre" w:history="1">
        <w:r w:rsidRPr="00AA40F4">
          <w:rPr>
            <w:rFonts w:ascii="Arial" w:eastAsia="Times New Roman" w:hAnsi="Arial" w:cs="Arial"/>
            <w:color w:val="0000FF"/>
            <w:kern w:val="0"/>
            <w:u w:val="single"/>
            <w:lang w:eastAsia="fr-FR"/>
            <w14:ligatures w14:val="none"/>
          </w:rPr>
          <w:t>DD(CS)PP</w:t>
        </w:r>
      </w:hyperlink>
      <w:r w:rsidRPr="00AA40F4">
        <w:rPr>
          <w:rFonts w:ascii="Arial" w:eastAsia="Times New Roman" w:hAnsi="Arial" w:cs="Arial"/>
          <w:color w:val="3A3A3A"/>
          <w:kern w:val="0"/>
          <w:lang w:eastAsia="fr-FR"/>
          <w14:ligatures w14:val="none"/>
        </w:rPr>
        <w:t> du département ;</w:t>
      </w:r>
    </w:p>
    <w:p w14:paraId="1C966640" w14:textId="671C2197" w:rsidR="00AA40F4" w:rsidRPr="00AA40F4" w:rsidRDefault="00AA40F4" w:rsidP="00AA40F4">
      <w:pPr>
        <w:numPr>
          <w:ilvl w:val="0"/>
          <w:numId w:val="1"/>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 xml:space="preserve">Un chien de catégorie 1 ou 2 doit avoir réalisé une évaluation comportementale par un vétérinaire inscrit sur une liste départementale entre </w:t>
      </w:r>
      <w:r w:rsidRPr="00AA40F4">
        <w:rPr>
          <w:rFonts w:ascii="Arial" w:eastAsia="Times New Roman" w:hAnsi="Arial" w:cs="Arial"/>
          <w:color w:val="3A3A3A"/>
          <w:kern w:val="0"/>
          <w:lang w:eastAsia="fr-FR"/>
          <w14:ligatures w14:val="none"/>
        </w:rPr>
        <w:lastRenderedPageBreak/>
        <w:t>8 mois et 1 an d'âge. Si le chien est âgé de moins de 8 mois, il sera délivré un permis de détention provisoire au propriétaire ;</w:t>
      </w:r>
    </w:p>
    <w:p w14:paraId="50DD78DF" w14:textId="693B4FD1" w:rsidR="00AA40F4" w:rsidRPr="00AA40F4" w:rsidRDefault="00AA40F4" w:rsidP="00AA40F4">
      <w:pPr>
        <w:numPr>
          <w:ilvl w:val="0"/>
          <w:numId w:val="1"/>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Posséder les documents justificatifs de l'identification du chien, de sa vaccination contre la rage, le certificat vétérinaire de stérilisation (uniquement pour les chiens de catégorie 1) ainsi que l'attestation d'assurance responsabilité civile du détenteur.</w:t>
      </w:r>
    </w:p>
    <w:p w14:paraId="5B72D1C3" w14:textId="77777777" w:rsidR="00AA40F4" w:rsidRPr="00AA40F4" w:rsidRDefault="00AA40F4" w:rsidP="00AA40F4">
      <w:pPr>
        <w:shd w:val="clear" w:color="auto" w:fill="FFFFFF"/>
        <w:spacing w:after="360"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Il est important de prendre en considération que si ces obligations ne sont pas respectées, les peines encourues peuvent être importantes. Par exemple, un détenteur de chien dangereux qui ne possède pas son permis de détention est puni de 3 mois d'emprisonnement et de 3 750 € d'amende ainsi que d'une interdiction temporaire ou définitive de détenir un animal.</w:t>
      </w:r>
    </w:p>
    <w:p w14:paraId="5EE5FC01" w14:textId="77777777" w:rsidR="00AA40F4" w:rsidRPr="00AA40F4" w:rsidRDefault="00AA40F4" w:rsidP="00AA40F4">
      <w:pPr>
        <w:shd w:val="clear" w:color="auto" w:fill="FFFFFF"/>
        <w:spacing w:after="360"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Ne sont pas autorisées à détenir un chien de catégorie 1 ou 2 :</w:t>
      </w:r>
    </w:p>
    <w:p w14:paraId="3801AE38" w14:textId="17CCC8F9" w:rsidR="00AA40F4" w:rsidRPr="00AA40F4" w:rsidRDefault="00AA40F4" w:rsidP="00AA40F4">
      <w:pPr>
        <w:numPr>
          <w:ilvl w:val="0"/>
          <w:numId w:val="2"/>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Les personnes mineures ;</w:t>
      </w:r>
    </w:p>
    <w:p w14:paraId="33857DD9" w14:textId="7F2ACDE8" w:rsidR="00AA40F4" w:rsidRPr="00AA40F4" w:rsidRDefault="00AA40F4" w:rsidP="00AA40F4">
      <w:pPr>
        <w:numPr>
          <w:ilvl w:val="0"/>
          <w:numId w:val="2"/>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Les personnes majeures sous tutelle (sauf si autorisation par le juge des tutelles) ;</w:t>
      </w:r>
    </w:p>
    <w:p w14:paraId="2339D011" w14:textId="79403BE0" w:rsidR="00AA40F4" w:rsidRPr="00AA40F4" w:rsidRDefault="00AA40F4" w:rsidP="00AA40F4">
      <w:pPr>
        <w:numPr>
          <w:ilvl w:val="0"/>
          <w:numId w:val="2"/>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Les personnes condamnées (crime ou peine d'emprisonnement pour délit inscrit au bulletin n°2) ;</w:t>
      </w:r>
    </w:p>
    <w:p w14:paraId="7BEFD4AB" w14:textId="066BF824" w:rsidR="00AA40F4" w:rsidRPr="00AA40F4" w:rsidRDefault="00AA40F4" w:rsidP="00AA40F4">
      <w:pPr>
        <w:numPr>
          <w:ilvl w:val="0"/>
          <w:numId w:val="2"/>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Les personnes auxquelles on a retiré le droit de possession ou de garde d'un chien.</w:t>
      </w:r>
    </w:p>
    <w:p w14:paraId="026052FA" w14:textId="77777777" w:rsidR="00AA40F4" w:rsidRPr="00AA40F4" w:rsidRDefault="00AA40F4" w:rsidP="00AA40F4">
      <w:pPr>
        <w:shd w:val="clear" w:color="auto" w:fill="FFFFFF"/>
        <w:spacing w:after="360" w:line="240" w:lineRule="auto"/>
        <w:outlineLvl w:val="1"/>
        <w:rPr>
          <w:rFonts w:ascii="Arial" w:eastAsia="Times New Roman" w:hAnsi="Arial" w:cs="Arial"/>
          <w:b/>
          <w:bCs/>
          <w:color w:val="161616"/>
          <w:kern w:val="0"/>
          <w:sz w:val="36"/>
          <w:szCs w:val="36"/>
          <w:lang w:eastAsia="fr-FR"/>
          <w14:ligatures w14:val="none"/>
        </w:rPr>
      </w:pPr>
      <w:r w:rsidRPr="00AA40F4">
        <w:rPr>
          <w:rFonts w:ascii="Arial" w:eastAsia="Times New Roman" w:hAnsi="Arial" w:cs="Arial"/>
          <w:b/>
          <w:bCs/>
          <w:color w:val="161616"/>
          <w:kern w:val="0"/>
          <w:sz w:val="36"/>
          <w:szCs w:val="36"/>
          <w:lang w:eastAsia="fr-FR"/>
          <w14:ligatures w14:val="none"/>
        </w:rPr>
        <w:t>Les chiens de catégorie 1</w:t>
      </w:r>
    </w:p>
    <w:p w14:paraId="445C0561" w14:textId="77777777" w:rsidR="00AA40F4" w:rsidRPr="00AA40F4" w:rsidRDefault="00AA40F4" w:rsidP="00AA40F4">
      <w:pPr>
        <w:shd w:val="clear" w:color="auto" w:fill="FFFFFF"/>
        <w:spacing w:after="360"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 xml:space="preserve">Il s'agit des « chiens d'attaque ». La catégorie 1 se compose de 3 types (chiens assimilables à une race de </w:t>
      </w:r>
      <w:proofErr w:type="spellStart"/>
      <w:r w:rsidRPr="00AA40F4">
        <w:rPr>
          <w:rFonts w:ascii="Arial" w:eastAsia="Times New Roman" w:hAnsi="Arial" w:cs="Arial"/>
          <w:color w:val="3A3A3A"/>
          <w:kern w:val="0"/>
          <w:lang w:eastAsia="fr-FR"/>
          <w14:ligatures w14:val="none"/>
        </w:rPr>
        <w:t>part</w:t>
      </w:r>
      <w:proofErr w:type="spellEnd"/>
      <w:r w:rsidRPr="00AA40F4">
        <w:rPr>
          <w:rFonts w:ascii="Arial" w:eastAsia="Times New Roman" w:hAnsi="Arial" w:cs="Arial"/>
          <w:color w:val="3A3A3A"/>
          <w:kern w:val="0"/>
          <w:lang w:eastAsia="fr-FR"/>
          <w14:ligatures w14:val="none"/>
        </w:rPr>
        <w:t xml:space="preserve"> leurs caractéristiques morphologiques et </w:t>
      </w:r>
      <w:proofErr w:type="spellStart"/>
      <w:r w:rsidRPr="00AA40F4">
        <w:rPr>
          <w:rFonts w:ascii="Arial" w:eastAsia="Times New Roman" w:hAnsi="Arial" w:cs="Arial"/>
          <w:color w:val="3A3A3A"/>
          <w:kern w:val="0"/>
          <w:lang w:eastAsia="fr-FR"/>
          <w14:ligatures w14:val="none"/>
        </w:rPr>
        <w:t>non inscrits</w:t>
      </w:r>
      <w:proofErr w:type="spellEnd"/>
      <w:r w:rsidRPr="00AA40F4">
        <w:rPr>
          <w:rFonts w:ascii="Arial" w:eastAsia="Times New Roman" w:hAnsi="Arial" w:cs="Arial"/>
          <w:color w:val="3A3A3A"/>
          <w:kern w:val="0"/>
          <w:lang w:eastAsia="fr-FR"/>
          <w14:ligatures w14:val="none"/>
        </w:rPr>
        <w:t xml:space="preserve"> dans un livre généalogique reconnu par le ministère de l'Agriculture et de l'Alimentation) :</w:t>
      </w:r>
    </w:p>
    <w:p w14:paraId="19473BCD" w14:textId="1F0F9555" w:rsidR="00AA40F4" w:rsidRPr="00AA40F4" w:rsidRDefault="00AA40F4" w:rsidP="00AA40F4">
      <w:pPr>
        <w:numPr>
          <w:ilvl w:val="0"/>
          <w:numId w:val="3"/>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Chiens de type American Staffordshire terrier (anciennement Staffordshire terrier), également appelés « pit-bulls » ;</w:t>
      </w:r>
    </w:p>
    <w:p w14:paraId="5CCDDE9E" w14:textId="494F0091" w:rsidR="00AA40F4" w:rsidRPr="00AA40F4" w:rsidRDefault="00AA40F4" w:rsidP="00AA40F4">
      <w:pPr>
        <w:numPr>
          <w:ilvl w:val="0"/>
          <w:numId w:val="3"/>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 xml:space="preserve">Chiens de type Mastiff, également appelés « </w:t>
      </w:r>
      <w:proofErr w:type="spellStart"/>
      <w:r w:rsidRPr="00AA40F4">
        <w:rPr>
          <w:rFonts w:ascii="Arial" w:eastAsia="Times New Roman" w:hAnsi="Arial" w:cs="Arial"/>
          <w:color w:val="3A3A3A"/>
          <w:kern w:val="0"/>
          <w:lang w:eastAsia="fr-FR"/>
          <w14:ligatures w14:val="none"/>
        </w:rPr>
        <w:t>boerbulls</w:t>
      </w:r>
      <w:proofErr w:type="spellEnd"/>
      <w:r w:rsidRPr="00AA40F4">
        <w:rPr>
          <w:rFonts w:ascii="Arial" w:eastAsia="Times New Roman" w:hAnsi="Arial" w:cs="Arial"/>
          <w:color w:val="3A3A3A"/>
          <w:kern w:val="0"/>
          <w:lang w:eastAsia="fr-FR"/>
          <w14:ligatures w14:val="none"/>
        </w:rPr>
        <w:t xml:space="preserve"> » ;</w:t>
      </w:r>
    </w:p>
    <w:p w14:paraId="60E2479C" w14:textId="7ACEFC33" w:rsidR="00AA40F4" w:rsidRPr="00AA40F4" w:rsidRDefault="00AA40F4" w:rsidP="00AA40F4">
      <w:pPr>
        <w:numPr>
          <w:ilvl w:val="0"/>
          <w:numId w:val="3"/>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Chiens de type Tosa.</w:t>
      </w:r>
    </w:p>
    <w:p w14:paraId="63E2214F" w14:textId="77777777" w:rsidR="00AA40F4" w:rsidRPr="00AA40F4" w:rsidRDefault="00AA40F4" w:rsidP="00AA40F4">
      <w:pPr>
        <w:shd w:val="clear" w:color="auto" w:fill="FFFFFF"/>
        <w:spacing w:after="360"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L'objectif de la loi étant de limiter le nombre de chiens de catégorie 1, toute acquisition, cession à titre onéreux ou gratuit, introduction ou importation sur le territoire français est interdite et passible de 6 mois d'emprisonnement et de 15 000 euros d'amende d'après l'</w:t>
      </w:r>
      <w:hyperlink r:id="rId14" w:tgtFrame="_blank" w:tooltip="article L215-2 du Code rural et de la pêche maritime - Ouverture dans une nouvelle fenêtre" w:history="1">
        <w:r w:rsidRPr="00AA40F4">
          <w:rPr>
            <w:rFonts w:ascii="Arial" w:eastAsia="Times New Roman" w:hAnsi="Arial" w:cs="Arial"/>
            <w:color w:val="0000FF"/>
            <w:kern w:val="0"/>
            <w:u w:val="single"/>
            <w:lang w:eastAsia="fr-FR"/>
            <w14:ligatures w14:val="none"/>
          </w:rPr>
          <w:t>article L215-2 du Code rural et de la pêche maritime</w:t>
        </w:r>
      </w:hyperlink>
      <w:r w:rsidRPr="00AA40F4">
        <w:rPr>
          <w:rFonts w:ascii="Arial" w:eastAsia="Times New Roman" w:hAnsi="Arial" w:cs="Arial"/>
          <w:color w:val="3A3A3A"/>
          <w:kern w:val="0"/>
          <w:lang w:eastAsia="fr-FR"/>
          <w14:ligatures w14:val="none"/>
        </w:rPr>
        <w:t>.</w:t>
      </w:r>
    </w:p>
    <w:p w14:paraId="7524B447" w14:textId="77777777" w:rsidR="00AA40F4" w:rsidRPr="00AA40F4" w:rsidRDefault="00AA40F4" w:rsidP="00AA40F4">
      <w:pPr>
        <w:shd w:val="clear" w:color="auto" w:fill="FFFFFF"/>
        <w:spacing w:after="360" w:line="240" w:lineRule="auto"/>
        <w:outlineLvl w:val="1"/>
        <w:rPr>
          <w:rFonts w:ascii="Arial" w:eastAsia="Times New Roman" w:hAnsi="Arial" w:cs="Arial"/>
          <w:b/>
          <w:bCs/>
          <w:color w:val="161616"/>
          <w:kern w:val="0"/>
          <w:sz w:val="36"/>
          <w:szCs w:val="36"/>
          <w:lang w:eastAsia="fr-FR"/>
          <w14:ligatures w14:val="none"/>
        </w:rPr>
      </w:pPr>
      <w:r w:rsidRPr="00AA40F4">
        <w:rPr>
          <w:rFonts w:ascii="Arial" w:eastAsia="Times New Roman" w:hAnsi="Arial" w:cs="Arial"/>
          <w:b/>
          <w:bCs/>
          <w:color w:val="161616"/>
          <w:kern w:val="0"/>
          <w:sz w:val="36"/>
          <w:szCs w:val="36"/>
          <w:lang w:eastAsia="fr-FR"/>
          <w14:ligatures w14:val="none"/>
        </w:rPr>
        <w:t>Les chiens de catégorie 2</w:t>
      </w:r>
    </w:p>
    <w:p w14:paraId="1C250D2B" w14:textId="77777777" w:rsidR="00AA40F4" w:rsidRPr="00AA40F4" w:rsidRDefault="00AA40F4" w:rsidP="00AA40F4">
      <w:pPr>
        <w:shd w:val="clear" w:color="auto" w:fill="FFFFFF"/>
        <w:spacing w:after="360"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Il s'agit des « chiens de garde et de défense ». La catégorie 2 se compose de 3 races (inscrites dans un livre généalogique reconnu par le ministère de l'Agriculture et de l'Alimentation) et 1 type :</w:t>
      </w:r>
    </w:p>
    <w:p w14:paraId="5476EA62" w14:textId="6621A31A" w:rsidR="00AA40F4" w:rsidRPr="00AA40F4" w:rsidRDefault="00AA40F4" w:rsidP="00AA40F4">
      <w:pPr>
        <w:numPr>
          <w:ilvl w:val="0"/>
          <w:numId w:val="4"/>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lastRenderedPageBreak/>
        <w:t>Chiens de race American Staffordshire terrier (anciennement Staffordshire terrier) ;</w:t>
      </w:r>
    </w:p>
    <w:p w14:paraId="710AA18B" w14:textId="13F5CA44" w:rsidR="00AA40F4" w:rsidRPr="00AA40F4" w:rsidRDefault="00AA40F4" w:rsidP="00AA40F4">
      <w:pPr>
        <w:numPr>
          <w:ilvl w:val="0"/>
          <w:numId w:val="4"/>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 xml:space="preserve">Chiens de race </w:t>
      </w:r>
      <w:proofErr w:type="spellStart"/>
      <w:r w:rsidRPr="00AA40F4">
        <w:rPr>
          <w:rFonts w:ascii="Arial" w:eastAsia="Times New Roman" w:hAnsi="Arial" w:cs="Arial"/>
          <w:color w:val="3A3A3A"/>
          <w:kern w:val="0"/>
          <w:lang w:eastAsia="fr-FR"/>
          <w14:ligatures w14:val="none"/>
        </w:rPr>
        <w:t>Rottweiller</w:t>
      </w:r>
      <w:proofErr w:type="spellEnd"/>
      <w:r w:rsidRPr="00AA40F4">
        <w:rPr>
          <w:rFonts w:ascii="Arial" w:eastAsia="Times New Roman" w:hAnsi="Arial" w:cs="Arial"/>
          <w:color w:val="3A3A3A"/>
          <w:kern w:val="0"/>
          <w:lang w:eastAsia="fr-FR"/>
          <w14:ligatures w14:val="none"/>
        </w:rPr>
        <w:t xml:space="preserve"> ;</w:t>
      </w:r>
    </w:p>
    <w:p w14:paraId="3FE43992" w14:textId="3176B795" w:rsidR="00AA40F4" w:rsidRPr="00AA40F4" w:rsidRDefault="00AA40F4" w:rsidP="00AA40F4">
      <w:pPr>
        <w:numPr>
          <w:ilvl w:val="0"/>
          <w:numId w:val="4"/>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 xml:space="preserve">Chiens de type </w:t>
      </w:r>
      <w:proofErr w:type="spellStart"/>
      <w:r w:rsidRPr="00AA40F4">
        <w:rPr>
          <w:rFonts w:ascii="Arial" w:eastAsia="Times New Roman" w:hAnsi="Arial" w:cs="Arial"/>
          <w:color w:val="3A3A3A"/>
          <w:kern w:val="0"/>
          <w:lang w:eastAsia="fr-FR"/>
          <w14:ligatures w14:val="none"/>
        </w:rPr>
        <w:t>Rottweiller</w:t>
      </w:r>
      <w:proofErr w:type="spellEnd"/>
    </w:p>
    <w:p w14:paraId="31817B6B" w14:textId="30408E93" w:rsidR="00AA40F4" w:rsidRPr="00AA40F4" w:rsidRDefault="00AA40F4" w:rsidP="00AA40F4">
      <w:pPr>
        <w:numPr>
          <w:ilvl w:val="0"/>
          <w:numId w:val="4"/>
        </w:numPr>
        <w:shd w:val="clear" w:color="auto" w:fill="FFFFFF"/>
        <w:spacing w:before="100" w:beforeAutospacing="1" w:after="100" w:afterAutospacing="1" w:line="240" w:lineRule="auto"/>
        <w:rPr>
          <w:rFonts w:ascii="Arial" w:eastAsia="Times New Roman" w:hAnsi="Arial" w:cs="Arial"/>
          <w:color w:val="3A3A3A"/>
          <w:kern w:val="0"/>
          <w:lang w:eastAsia="fr-FR"/>
          <w14:ligatures w14:val="none"/>
        </w:rPr>
      </w:pPr>
      <w:r w:rsidRPr="00AA40F4">
        <w:rPr>
          <w:rFonts w:ascii="Arial" w:eastAsia="Times New Roman" w:hAnsi="Arial" w:cs="Arial"/>
          <w:color w:val="3A3A3A"/>
          <w:kern w:val="0"/>
          <w:lang w:eastAsia="fr-FR"/>
          <w14:ligatures w14:val="none"/>
        </w:rPr>
        <w:t>Chiens de race Tosa</w:t>
      </w:r>
    </w:p>
    <w:p w14:paraId="6CCB4617" w14:textId="4496398F" w:rsidR="00726E57" w:rsidRPr="00F16B04" w:rsidRDefault="00726E57" w:rsidP="00F16B04"/>
    <w:sectPr w:rsidR="00726E57" w:rsidRPr="00F16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B09"/>
    <w:multiLevelType w:val="multilevel"/>
    <w:tmpl w:val="C87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3B31F1"/>
    <w:multiLevelType w:val="multilevel"/>
    <w:tmpl w:val="604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034454"/>
    <w:multiLevelType w:val="multilevel"/>
    <w:tmpl w:val="3B1A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3A1FD2"/>
    <w:multiLevelType w:val="multilevel"/>
    <w:tmpl w:val="6734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3601239">
    <w:abstractNumId w:val="3"/>
  </w:num>
  <w:num w:numId="2" w16cid:durableId="1503085779">
    <w:abstractNumId w:val="1"/>
  </w:num>
  <w:num w:numId="3" w16cid:durableId="672494549">
    <w:abstractNumId w:val="0"/>
  </w:num>
  <w:num w:numId="4" w16cid:durableId="186424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04"/>
    <w:rsid w:val="0011109D"/>
    <w:rsid w:val="00143274"/>
    <w:rsid w:val="001B59A1"/>
    <w:rsid w:val="003661B9"/>
    <w:rsid w:val="00726E57"/>
    <w:rsid w:val="00AA40F4"/>
    <w:rsid w:val="00F16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1E6A"/>
  <w15:chartTrackingRefBased/>
  <w15:docId w15:val="{4AFB8492-183B-4663-8BEF-9625A653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6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16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16B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16B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16B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16B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6B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6B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6B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6B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16B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16B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16B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16B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16B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6B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6B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6B04"/>
    <w:rPr>
      <w:rFonts w:eastAsiaTheme="majorEastAsia" w:cstheme="majorBidi"/>
      <w:color w:val="272727" w:themeColor="text1" w:themeTint="D8"/>
    </w:rPr>
  </w:style>
  <w:style w:type="paragraph" w:styleId="Titre">
    <w:name w:val="Title"/>
    <w:basedOn w:val="Normal"/>
    <w:next w:val="Normal"/>
    <w:link w:val="TitreCar"/>
    <w:uiPriority w:val="10"/>
    <w:qFormat/>
    <w:rsid w:val="00F16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6B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6B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6B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6B04"/>
    <w:pPr>
      <w:spacing w:before="160"/>
      <w:jc w:val="center"/>
    </w:pPr>
    <w:rPr>
      <w:i/>
      <w:iCs/>
      <w:color w:val="404040" w:themeColor="text1" w:themeTint="BF"/>
    </w:rPr>
  </w:style>
  <w:style w:type="character" w:customStyle="1" w:styleId="CitationCar">
    <w:name w:val="Citation Car"/>
    <w:basedOn w:val="Policepardfaut"/>
    <w:link w:val="Citation"/>
    <w:uiPriority w:val="29"/>
    <w:rsid w:val="00F16B04"/>
    <w:rPr>
      <w:i/>
      <w:iCs/>
      <w:color w:val="404040" w:themeColor="text1" w:themeTint="BF"/>
    </w:rPr>
  </w:style>
  <w:style w:type="paragraph" w:styleId="Paragraphedeliste">
    <w:name w:val="List Paragraph"/>
    <w:basedOn w:val="Normal"/>
    <w:uiPriority w:val="34"/>
    <w:qFormat/>
    <w:rsid w:val="00F16B04"/>
    <w:pPr>
      <w:ind w:left="720"/>
      <w:contextualSpacing/>
    </w:pPr>
  </w:style>
  <w:style w:type="character" w:styleId="Accentuationintense">
    <w:name w:val="Intense Emphasis"/>
    <w:basedOn w:val="Policepardfaut"/>
    <w:uiPriority w:val="21"/>
    <w:qFormat/>
    <w:rsid w:val="00F16B04"/>
    <w:rPr>
      <w:i/>
      <w:iCs/>
      <w:color w:val="0F4761" w:themeColor="accent1" w:themeShade="BF"/>
    </w:rPr>
  </w:style>
  <w:style w:type="paragraph" w:styleId="Citationintense">
    <w:name w:val="Intense Quote"/>
    <w:basedOn w:val="Normal"/>
    <w:next w:val="Normal"/>
    <w:link w:val="CitationintenseCar"/>
    <w:uiPriority w:val="30"/>
    <w:qFormat/>
    <w:rsid w:val="00F16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16B04"/>
    <w:rPr>
      <w:i/>
      <w:iCs/>
      <w:color w:val="0F4761" w:themeColor="accent1" w:themeShade="BF"/>
    </w:rPr>
  </w:style>
  <w:style w:type="character" w:styleId="Rfrenceintense">
    <w:name w:val="Intense Reference"/>
    <w:basedOn w:val="Policepardfaut"/>
    <w:uiPriority w:val="32"/>
    <w:qFormat/>
    <w:rsid w:val="00F16B04"/>
    <w:rPr>
      <w:b/>
      <w:bCs/>
      <w:smallCaps/>
      <w:color w:val="0F4761" w:themeColor="accent1" w:themeShade="BF"/>
      <w:spacing w:val="5"/>
    </w:rPr>
  </w:style>
  <w:style w:type="character" w:styleId="Lienhypertexte">
    <w:name w:val="Hyperlink"/>
    <w:basedOn w:val="Policepardfaut"/>
    <w:uiPriority w:val="99"/>
    <w:semiHidden/>
    <w:unhideWhenUsed/>
    <w:rsid w:val="00AA40F4"/>
    <w:rPr>
      <w:color w:val="0000FF"/>
      <w:u w:val="single"/>
    </w:rPr>
  </w:style>
  <w:style w:type="paragraph" w:styleId="NormalWeb">
    <w:name w:val="Normal (Web)"/>
    <w:basedOn w:val="Normal"/>
    <w:uiPriority w:val="99"/>
    <w:semiHidden/>
    <w:unhideWhenUsed/>
    <w:rsid w:val="00AA40F4"/>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idArticle=LEGIARTI000019065621&amp;cidTexte=LEGITEXT000006071367&amp;dateTexte=20080622" TargetMode="External"/><Relationship Id="rId13" Type="http://schemas.openxmlformats.org/officeDocument/2006/relationships/hyperlink" Target="https://agriculture.gouv.fr/coordonnees-des-ddpp-et-ddcs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france.gouv.fr/affichTexte.do?cidTexte=JORFTEXT000020537735&amp;categorieLien=i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france.gouv.fr/affichTexte.do?cidTexte=JORFTEXT000019060485&amp;categorieLien=i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france.gouv.fr/affichTexte.do?cidTexte=JORFTEXT000000558336&amp;categorieLien=id" TargetMode="External"/><Relationship Id="rId4" Type="http://schemas.openxmlformats.org/officeDocument/2006/relationships/numbering" Target="numbering.xml"/><Relationship Id="rId9" Type="http://schemas.openxmlformats.org/officeDocument/2006/relationships/hyperlink" Target="https://www.legifrance.gouv.fr/affichCodeArticle.do?cidTexte=LEGITEXT000022197698&amp;idArticle=LEGIARTI000019065649" TargetMode="External"/><Relationship Id="rId14" Type="http://schemas.openxmlformats.org/officeDocument/2006/relationships/hyperlink" Target="https://www.legifrance.gouv.fr/affichCodeArticle.do?idArticle=LEGIARTI000025954078&amp;cidTexte=LEGITEXT00000607136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9EFDE243B0A54584EAC75A8358DC7E" ma:contentTypeVersion="8" ma:contentTypeDescription="Create a new document." ma:contentTypeScope="" ma:versionID="0c3ca2dea16605902015fa37cd14f538">
  <xsd:schema xmlns:xsd="http://www.w3.org/2001/XMLSchema" xmlns:xs="http://www.w3.org/2001/XMLSchema" xmlns:p="http://schemas.microsoft.com/office/2006/metadata/properties" xmlns:ns3="99dc760f-759e-4a5a-bc09-930bb5b3cdcb" targetNamespace="http://schemas.microsoft.com/office/2006/metadata/properties" ma:root="true" ma:fieldsID="d5f8dc46ae965bf2957223ff50da6742" ns3:_="">
    <xsd:import namespace="99dc760f-759e-4a5a-bc09-930bb5b3cd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760f-759e-4a5a-bc09-930bb5b3c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3063B-5836-44DB-AF6A-B4E9C32DE504}">
  <ds:schemaRefs>
    <ds:schemaRef ds:uri="http://schemas.microsoft.com/sharepoint/v3/contenttype/forms"/>
  </ds:schemaRefs>
</ds:datastoreItem>
</file>

<file path=customXml/itemProps2.xml><?xml version="1.0" encoding="utf-8"?>
<ds:datastoreItem xmlns:ds="http://schemas.openxmlformats.org/officeDocument/2006/customXml" ds:itemID="{FFFAAD97-E071-45BA-91A0-24C57FA6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760f-759e-4a5a-bc09-930bb5b3c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85DBB-7A86-4EDB-8AAC-5FCB12785AC7}">
  <ds:schemaRefs>
    <ds:schemaRef ds:uri="http://purl.org/dc/terms/"/>
    <ds:schemaRef ds:uri="http://schemas.microsoft.com/office/2006/metadata/properties"/>
    <ds:schemaRef ds:uri="99dc760f-759e-4a5a-bc09-930bb5b3cdcb"/>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Laury</dc:creator>
  <cp:keywords/>
  <dc:description/>
  <cp:lastModifiedBy>Joel Laury</cp:lastModifiedBy>
  <cp:revision>2</cp:revision>
  <dcterms:created xsi:type="dcterms:W3CDTF">2025-11-04T10:11:00Z</dcterms:created>
  <dcterms:modified xsi:type="dcterms:W3CDTF">2025-11-04T10:11:00Z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0x0101002A9EFDE243B0A54584EAC75A8358DC7E</vt:lpwstr>
  </property>
</Properties>
</file>